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54" w:rsidRPr="00EE2732" w:rsidRDefault="00753854" w:rsidP="00753854">
      <w:pPr>
        <w:rPr>
          <w:rFonts w:ascii="Times New Roman" w:hAnsi="Times New Roman" w:cs="Times New Roman"/>
          <w:b/>
          <w:lang w:val="tr-TR"/>
        </w:rPr>
      </w:pPr>
      <w:r w:rsidRPr="00EE2732">
        <w:rPr>
          <w:rFonts w:ascii="Times New Roman" w:hAnsi="Times New Roman" w:cs="Times New Roman"/>
          <w:b/>
          <w:lang w:val="tr-TR"/>
        </w:rPr>
        <w:t xml:space="preserve">Personel Ders Verme Hareketliliği </w:t>
      </w:r>
    </w:p>
    <w:p w:rsidR="00753854" w:rsidRPr="00EE2732" w:rsidRDefault="00753854" w:rsidP="00753854">
      <w:pPr>
        <w:rPr>
          <w:rFonts w:ascii="Times New Roman" w:hAnsi="Times New Roman" w:cs="Times New Roman"/>
          <w:lang w:val="tr-TR"/>
        </w:rPr>
      </w:pPr>
    </w:p>
    <w:p w:rsidR="00753854" w:rsidRPr="00EE2732" w:rsidRDefault="00753854" w:rsidP="00753854">
      <w:pPr>
        <w:rPr>
          <w:rFonts w:ascii="Times New Roman" w:hAnsi="Times New Roman" w:cs="Times New Roman"/>
          <w:lang w:val="tr-TR"/>
        </w:rPr>
      </w:pPr>
      <w:r w:rsidRPr="00EE2732">
        <w:rPr>
          <w:rFonts w:ascii="Times New Roman" w:hAnsi="Times New Roman" w:cs="Times New Roman"/>
          <w:lang w:val="tr-TR"/>
        </w:rPr>
        <w:t>Personel ders verme hareketliliği Türkiye’de ECHE sahibi bir yükseköğretim kurumunda ders vermekle yükümlü olan bir personelin, program ülkelerinden birinde ECHE sahibi bir yükseköğretim kurumunda öğrencilere ders vermesine ve ders vermeye ilişkin olarak karşı kurumla ortaklaşa akademik/eğitsel faaliyetler gerçekleştirmesine imkân sağlayan faaliyet alanıdır.</w:t>
      </w:r>
    </w:p>
    <w:p w:rsidR="00753854" w:rsidRPr="00EE2732" w:rsidRDefault="00753854" w:rsidP="00753854">
      <w:pPr>
        <w:rPr>
          <w:rFonts w:ascii="Times New Roman" w:hAnsi="Times New Roman" w:cs="Times New Roman"/>
          <w:b/>
          <w:lang w:val="tr-TR"/>
        </w:rPr>
      </w:pPr>
      <w:r w:rsidRPr="00EE2732">
        <w:rPr>
          <w:rFonts w:ascii="Times New Roman" w:hAnsi="Times New Roman" w:cs="Times New Roman"/>
          <w:b/>
          <w:lang w:val="tr-TR"/>
        </w:rPr>
        <w:t>Ders verme hareketliliğine kimler katılabilir?</w:t>
      </w:r>
    </w:p>
    <w:p w:rsidR="00753854" w:rsidRPr="00EE2732" w:rsidRDefault="00753854" w:rsidP="00753854">
      <w:pPr>
        <w:rPr>
          <w:rFonts w:ascii="Times New Roman" w:hAnsi="Times New Roman" w:cs="Times New Roman"/>
          <w:lang w:val="tr-TR"/>
        </w:rPr>
      </w:pPr>
      <w:r w:rsidRPr="00EE2732">
        <w:rPr>
          <w:rFonts w:ascii="Times New Roman" w:hAnsi="Times New Roman" w:cs="Times New Roman"/>
          <w:lang w:val="tr-TR"/>
        </w:rPr>
        <w:t xml:space="preserve">Erciyes Üniversitesinde tam/yarı zamanlı olarak istihdam edilmiş, fiilen görev yapmakta olan ve ders vermekle yükümlü olan personel Ders Verme Hareketliliğinden faydalanabilir </w:t>
      </w:r>
    </w:p>
    <w:p w:rsidR="00753854" w:rsidRPr="00EE2732" w:rsidRDefault="00753854" w:rsidP="00753854">
      <w:pPr>
        <w:pStyle w:val="NormalWeb"/>
        <w:spacing w:before="0" w:beforeAutospacing="0" w:after="300" w:afterAutospacing="0" w:line="345" w:lineRule="atLeast"/>
        <w:jc w:val="both"/>
        <w:rPr>
          <w:b/>
          <w:sz w:val="22"/>
          <w:szCs w:val="22"/>
        </w:rPr>
      </w:pPr>
      <w:r w:rsidRPr="00EE2732">
        <w:rPr>
          <w:b/>
          <w:sz w:val="22"/>
          <w:szCs w:val="22"/>
        </w:rPr>
        <w:t>Personel Ders Verme Hareketliliği için Asgarî ve Azamî Süreler</w:t>
      </w:r>
    </w:p>
    <w:p w:rsidR="00753854" w:rsidRPr="00BC6293" w:rsidRDefault="00753854" w:rsidP="00753854">
      <w:pPr>
        <w:pStyle w:val="NormalWeb"/>
        <w:spacing w:before="0" w:beforeAutospacing="0" w:after="300" w:afterAutospacing="0" w:line="345" w:lineRule="atLeast"/>
        <w:jc w:val="both"/>
        <w:rPr>
          <w:b/>
          <w:sz w:val="22"/>
          <w:szCs w:val="22"/>
        </w:rPr>
      </w:pPr>
      <w:r w:rsidRPr="00EE2732">
        <w:rPr>
          <w:sz w:val="22"/>
          <w:szCs w:val="22"/>
        </w:rPr>
        <w:t xml:space="preserve">Personel ders verme hareketliliği için faaliyet süresi, seyahat hariç en az 2 iş günü ve en fazla </w:t>
      </w:r>
      <w:r w:rsidR="00BC6293">
        <w:rPr>
          <w:sz w:val="22"/>
          <w:szCs w:val="22"/>
        </w:rPr>
        <w:t>5 gün</w:t>
      </w:r>
      <w:r w:rsidRPr="00EE2732">
        <w:rPr>
          <w:sz w:val="22"/>
          <w:szCs w:val="22"/>
        </w:rPr>
        <w:t xml:space="preserve"> olarak belirlenmiştir. Bununla birlikte, faaliyetin geçerli bir faaliyet olarak değerlendirilebilmesi için en az 8 ders saati ders verilmesi zorunludur. </w:t>
      </w:r>
      <w:r w:rsidRPr="00BC6293">
        <w:rPr>
          <w:b/>
          <w:sz w:val="22"/>
          <w:szCs w:val="22"/>
        </w:rPr>
        <w:t>Personel ders verme hareketliliğinde, katılım sertifikasında yararlanıcının 2 günden az süre ile faaliyet gerçekleştirdiği ve/veya vermesi gerekenden daha az saat ders verdiğinin görüldüğü durumlarda, faaliyet geçersiz kabul edilir ve yararlanıcıya herhangi bir hibe ödemesi yapılmaz.</w:t>
      </w:r>
    </w:p>
    <w:p w:rsidR="00753854" w:rsidRPr="00EE2732" w:rsidRDefault="00753854" w:rsidP="00753854">
      <w:pPr>
        <w:pStyle w:val="NormalWeb"/>
        <w:spacing w:before="0" w:beforeAutospacing="0" w:after="300" w:afterAutospacing="0" w:line="345" w:lineRule="atLeast"/>
        <w:jc w:val="both"/>
        <w:rPr>
          <w:b/>
          <w:sz w:val="22"/>
          <w:szCs w:val="22"/>
        </w:rPr>
      </w:pPr>
      <w:r w:rsidRPr="00EE2732">
        <w:rPr>
          <w:b/>
          <w:sz w:val="22"/>
          <w:szCs w:val="22"/>
        </w:rPr>
        <w:t>Hibe Desteği</w:t>
      </w:r>
    </w:p>
    <w:p w:rsidR="00753854" w:rsidRPr="00EE2732" w:rsidRDefault="00753854" w:rsidP="00753854">
      <w:pPr>
        <w:pStyle w:val="NormalWeb"/>
        <w:spacing w:before="0" w:beforeAutospacing="0" w:after="300" w:afterAutospacing="0" w:line="345" w:lineRule="atLeast"/>
        <w:jc w:val="both"/>
        <w:rPr>
          <w:sz w:val="22"/>
          <w:szCs w:val="22"/>
        </w:rPr>
      </w:pPr>
      <w:r w:rsidRPr="00EE2732">
        <w:rPr>
          <w:sz w:val="22"/>
          <w:szCs w:val="22"/>
        </w:rPr>
        <w:t xml:space="preserve"> </w:t>
      </w:r>
      <w:r w:rsidRPr="00EE2732">
        <w:rPr>
          <w:b/>
          <w:sz w:val="22"/>
          <w:szCs w:val="22"/>
        </w:rPr>
        <w:t>Temel Bilgiler:</w:t>
      </w:r>
      <w:r w:rsidRPr="00EE2732">
        <w:rPr>
          <w:sz w:val="22"/>
          <w:szCs w:val="22"/>
        </w:rPr>
        <w:t xml:space="preserve"> Personel hareketliliğinden faydalanan personele verilen hibe katkı niteliğinde olup; verilen hibe yurtdışında geçirilen döneme ilişkin masrafların tamamını karşılamaya yönelik değildir. Personele verilecek hibe miktarı konusunda, yükseköğretim kurumuna sunulan alternatifler üniversite ile personel arasında imzalanması gereken standart sözleşme metninde yer almaktadır. Hibe miktarı konusunda yapılacak uygulamanın, hedef kitleye duyurulması ve tüm personele aynı şekilde uygulanması gerekmektedir.</w:t>
      </w:r>
    </w:p>
    <w:p w:rsidR="00753854" w:rsidRPr="00EE2732" w:rsidRDefault="00753854" w:rsidP="00753854">
      <w:pPr>
        <w:pStyle w:val="NormalWeb"/>
        <w:spacing w:before="0" w:beforeAutospacing="0" w:after="300" w:afterAutospacing="0" w:line="345" w:lineRule="atLeast"/>
        <w:jc w:val="both"/>
        <w:rPr>
          <w:sz w:val="22"/>
          <w:szCs w:val="22"/>
        </w:rPr>
      </w:pPr>
      <w:r w:rsidRPr="00EE2732">
        <w:rPr>
          <w:b/>
          <w:sz w:val="22"/>
          <w:szCs w:val="22"/>
        </w:rPr>
        <w:t>Gidilen Ülkelere Göre Günlük Hibe Miktarları</w:t>
      </w:r>
    </w:p>
    <w:p w:rsidR="00753854" w:rsidRPr="00EE2732" w:rsidRDefault="00753854" w:rsidP="00753854">
      <w:pPr>
        <w:pStyle w:val="NormalWeb"/>
        <w:spacing w:before="0" w:beforeAutospacing="0" w:after="300" w:afterAutospacing="0" w:line="345" w:lineRule="atLeast"/>
        <w:jc w:val="both"/>
        <w:rPr>
          <w:sz w:val="22"/>
          <w:szCs w:val="22"/>
        </w:rPr>
      </w:pPr>
      <w:r w:rsidRPr="00EE2732">
        <w:rPr>
          <w:sz w:val="22"/>
          <w:szCs w:val="22"/>
        </w:rPr>
        <w:t xml:space="preserve"> Personel hareketliliğinden faydalanacak personele verilecek olan gündelik miktarı gidilen ülke ile birlikte gidilen süreye göre aşağıdaki tabloda belirtilen tutarlar dikkate alınarak hesaplanır. Tabloda gösterilen miktarlar Avro cinsindendir.</w:t>
      </w:r>
    </w:p>
    <w:p w:rsidR="00753854" w:rsidRPr="00EE2732" w:rsidRDefault="00753854" w:rsidP="00753854">
      <w:pPr>
        <w:pStyle w:val="NormalWeb"/>
        <w:spacing w:before="0" w:beforeAutospacing="0" w:after="300" w:afterAutospacing="0" w:line="345" w:lineRule="atLeast"/>
        <w:jc w:val="both"/>
        <w:rPr>
          <w:sz w:val="22"/>
          <w:szCs w:val="22"/>
        </w:rPr>
      </w:pPr>
    </w:p>
    <w:tbl>
      <w:tblPr>
        <w:tblStyle w:val="TabloKlavuzu"/>
        <w:tblW w:w="0" w:type="auto"/>
        <w:tblLook w:val="04A0" w:firstRow="1" w:lastRow="0" w:firstColumn="1" w:lastColumn="0" w:noHBand="0" w:noVBand="1"/>
      </w:tblPr>
      <w:tblGrid>
        <w:gridCol w:w="3070"/>
        <w:gridCol w:w="3071"/>
        <w:gridCol w:w="3071"/>
      </w:tblGrid>
      <w:tr w:rsidR="00753854" w:rsidRPr="00EE2732" w:rsidTr="00007560">
        <w:tc>
          <w:tcPr>
            <w:tcW w:w="3070"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Hayat pahalılığına göre ülke grupları</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Hareketlilikte Misafir Olunan Ülkeler</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Günlük hibe miktarları (Avro)</w:t>
            </w:r>
          </w:p>
        </w:tc>
      </w:tr>
      <w:tr w:rsidR="00753854" w:rsidRPr="00EE2732" w:rsidTr="00007560">
        <w:tc>
          <w:tcPr>
            <w:tcW w:w="3070"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1. Grup Program Ülkeleri</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 xml:space="preserve">Birleşik Krallık, Danimarka, </w:t>
            </w:r>
            <w:r w:rsidRPr="00EE2732">
              <w:rPr>
                <w:sz w:val="22"/>
                <w:szCs w:val="22"/>
              </w:rPr>
              <w:lastRenderedPageBreak/>
              <w:t>Hollanda, İrlanda, İsveç</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lastRenderedPageBreak/>
              <w:t>144</w:t>
            </w:r>
          </w:p>
        </w:tc>
      </w:tr>
      <w:tr w:rsidR="00753854" w:rsidRPr="00EE2732" w:rsidTr="00007560">
        <w:tc>
          <w:tcPr>
            <w:tcW w:w="3070"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lastRenderedPageBreak/>
              <w:t>2. Grup Program Ülkeleri</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Avusturya, Belçika, Bulgaristan, Çek Cumhuriyeti, Finlandiya, Fransa, İtalya, İzlanda, Kıbrıs Rum Kesimi, Lihtenştayn, Lüksemburg, Macaristan, Norveç, Polonya, Romanya, Yunanistan</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126</w:t>
            </w:r>
          </w:p>
        </w:tc>
      </w:tr>
      <w:tr w:rsidR="00753854" w:rsidRPr="00EE2732" w:rsidTr="00007560">
        <w:tc>
          <w:tcPr>
            <w:tcW w:w="3070"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3. Grup Program Ülkeleri</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Almanya, İspanya, Letonya, Makedonya, Malta, Portekiz, Slovak Cumhuriyeti</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108</w:t>
            </w:r>
          </w:p>
        </w:tc>
      </w:tr>
      <w:tr w:rsidR="00753854" w:rsidRPr="00EE2732" w:rsidTr="00007560">
        <w:tc>
          <w:tcPr>
            <w:tcW w:w="3070"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4. Grup Program Ülkeleri</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Estonya, Hırvatistan, Litvanya, Slovenya</w:t>
            </w:r>
          </w:p>
        </w:tc>
        <w:tc>
          <w:tcPr>
            <w:tcW w:w="3071"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90</w:t>
            </w:r>
          </w:p>
        </w:tc>
      </w:tr>
    </w:tbl>
    <w:p w:rsidR="00753854" w:rsidRPr="00EE2732" w:rsidRDefault="00753854" w:rsidP="00753854">
      <w:pPr>
        <w:pStyle w:val="NormalWeb"/>
        <w:spacing w:before="0" w:beforeAutospacing="0" w:after="300" w:afterAutospacing="0" w:line="345" w:lineRule="atLeast"/>
        <w:jc w:val="both"/>
        <w:rPr>
          <w:b/>
          <w:sz w:val="22"/>
          <w:szCs w:val="22"/>
        </w:rPr>
      </w:pPr>
    </w:p>
    <w:p w:rsidR="00753854" w:rsidRPr="00EE2732" w:rsidRDefault="00753854" w:rsidP="00753854">
      <w:pPr>
        <w:pStyle w:val="NormalWeb"/>
        <w:spacing w:before="0" w:beforeAutospacing="0" w:after="300" w:afterAutospacing="0" w:line="345" w:lineRule="atLeast"/>
        <w:jc w:val="both"/>
        <w:rPr>
          <w:sz w:val="22"/>
          <w:szCs w:val="22"/>
        </w:rPr>
      </w:pPr>
      <w:r w:rsidRPr="00EE2732">
        <w:rPr>
          <w:b/>
          <w:sz w:val="22"/>
          <w:szCs w:val="22"/>
        </w:rPr>
        <w:t>Hibe Hesaplamaları</w:t>
      </w:r>
      <w:r w:rsidRPr="00EE2732">
        <w:rPr>
          <w:sz w:val="22"/>
          <w:szCs w:val="22"/>
        </w:rPr>
        <w:t xml:space="preserve"> </w:t>
      </w:r>
    </w:p>
    <w:p w:rsidR="00753854" w:rsidRPr="00EE2732" w:rsidRDefault="00753854" w:rsidP="00753854">
      <w:pPr>
        <w:pStyle w:val="NormalWeb"/>
        <w:spacing w:before="0" w:beforeAutospacing="0" w:after="300" w:afterAutospacing="0" w:line="345" w:lineRule="atLeast"/>
        <w:jc w:val="both"/>
        <w:rPr>
          <w:sz w:val="22"/>
          <w:szCs w:val="22"/>
        </w:rPr>
      </w:pPr>
      <w:r w:rsidRPr="00EE2732">
        <w:rPr>
          <w:b/>
          <w:sz w:val="22"/>
          <w:szCs w:val="22"/>
        </w:rPr>
        <w:t>Gündelik Hesaplamaları</w:t>
      </w:r>
    </w:p>
    <w:p w:rsidR="00753854" w:rsidRDefault="00753854" w:rsidP="00753854">
      <w:pPr>
        <w:pStyle w:val="NormalWeb"/>
        <w:spacing w:before="0" w:beforeAutospacing="0" w:after="300" w:afterAutospacing="0" w:line="345" w:lineRule="atLeast"/>
        <w:jc w:val="both"/>
        <w:rPr>
          <w:sz w:val="22"/>
          <w:szCs w:val="22"/>
        </w:rPr>
      </w:pPr>
      <w:r w:rsidRPr="00EE2732">
        <w:rPr>
          <w:sz w:val="22"/>
          <w:szCs w:val="22"/>
        </w:rPr>
        <w:t xml:space="preserve">Personelin faaliyet süreleri ve hibeleri, faaliyet başlamadan önce tahminî olarak hesaplanır. Faaliyet sona erdikten sonra gerçekleşen kesin süreler ve hibeler tekrar hesaplanmalıdır. Personelin faaliyet süreleri kısmen veya tamamen </w:t>
      </w:r>
      <w:proofErr w:type="spellStart"/>
      <w:r w:rsidRPr="00EE2732">
        <w:rPr>
          <w:sz w:val="22"/>
          <w:szCs w:val="22"/>
        </w:rPr>
        <w:t>hibel</w:t>
      </w:r>
      <w:bookmarkStart w:id="0" w:name="_GoBack"/>
      <w:bookmarkEnd w:id="0"/>
      <w:r w:rsidRPr="00EE2732">
        <w:rPr>
          <w:sz w:val="22"/>
          <w:szCs w:val="22"/>
        </w:rPr>
        <w:t>endirilir</w:t>
      </w:r>
      <w:proofErr w:type="spellEnd"/>
      <w:r w:rsidRPr="00EE2732">
        <w:rPr>
          <w:sz w:val="22"/>
          <w:szCs w:val="22"/>
        </w:rPr>
        <w:t xml:space="preserve"> veya faaliyet tamamen </w:t>
      </w:r>
      <w:proofErr w:type="spellStart"/>
      <w:r w:rsidRPr="00EE2732">
        <w:rPr>
          <w:sz w:val="22"/>
          <w:szCs w:val="22"/>
        </w:rPr>
        <w:t>hibesiz</w:t>
      </w:r>
      <w:proofErr w:type="spellEnd"/>
      <w:r w:rsidRPr="00EE2732">
        <w:rPr>
          <w:sz w:val="22"/>
          <w:szCs w:val="22"/>
        </w:rPr>
        <w:t xml:space="preserve"> yani “sıfır hibeli” olarak gerçekleştirilebilir. Faaliyet süresinin kısmen </w:t>
      </w:r>
      <w:proofErr w:type="spellStart"/>
      <w:r w:rsidRPr="00EE2732">
        <w:rPr>
          <w:sz w:val="22"/>
          <w:szCs w:val="22"/>
        </w:rPr>
        <w:t>hibelendirilmesi</w:t>
      </w:r>
      <w:proofErr w:type="spellEnd"/>
      <w:r w:rsidRPr="00EE2732">
        <w:rPr>
          <w:sz w:val="22"/>
          <w:szCs w:val="22"/>
        </w:rPr>
        <w:t xml:space="preserve"> halinde, hibe verilecek süre personel hareketliliği için 2 </w:t>
      </w:r>
      <w:proofErr w:type="spellStart"/>
      <w:r w:rsidRPr="00EE2732">
        <w:rPr>
          <w:sz w:val="22"/>
          <w:szCs w:val="22"/>
        </w:rPr>
        <w:t>gün’den</w:t>
      </w:r>
      <w:proofErr w:type="spellEnd"/>
      <w:r w:rsidRPr="00EE2732">
        <w:rPr>
          <w:sz w:val="22"/>
          <w:szCs w:val="22"/>
        </w:rPr>
        <w:t xml:space="preserve"> kısa olamaz. </w:t>
      </w:r>
    </w:p>
    <w:p w:rsidR="00BC6293" w:rsidRDefault="00BC6293" w:rsidP="00753854">
      <w:pPr>
        <w:pStyle w:val="NormalWeb"/>
        <w:spacing w:before="0" w:beforeAutospacing="0" w:after="300" w:afterAutospacing="0" w:line="345" w:lineRule="atLeast"/>
        <w:jc w:val="both"/>
        <w:rPr>
          <w:sz w:val="22"/>
          <w:szCs w:val="22"/>
        </w:rPr>
      </w:pPr>
    </w:p>
    <w:p w:rsidR="00BC6293" w:rsidRPr="00EE2732" w:rsidRDefault="00BC6293" w:rsidP="00753854">
      <w:pPr>
        <w:pStyle w:val="NormalWeb"/>
        <w:spacing w:before="0" w:beforeAutospacing="0" w:after="300" w:afterAutospacing="0" w:line="345" w:lineRule="atLeast"/>
        <w:jc w:val="both"/>
        <w:rPr>
          <w:sz w:val="22"/>
          <w:szCs w:val="22"/>
        </w:rPr>
      </w:pPr>
    </w:p>
    <w:p w:rsidR="00753854" w:rsidRPr="00EE2732" w:rsidRDefault="00753854" w:rsidP="00753854">
      <w:pPr>
        <w:pStyle w:val="NormalWeb"/>
        <w:spacing w:before="0" w:beforeAutospacing="0" w:after="300" w:afterAutospacing="0" w:line="345" w:lineRule="atLeast"/>
        <w:jc w:val="both"/>
        <w:rPr>
          <w:b/>
          <w:sz w:val="22"/>
          <w:szCs w:val="22"/>
        </w:rPr>
      </w:pPr>
      <w:r w:rsidRPr="00EE2732">
        <w:rPr>
          <w:b/>
          <w:sz w:val="22"/>
          <w:szCs w:val="22"/>
        </w:rPr>
        <w:t>Seyahat Gideri Hesaplamaları</w:t>
      </w:r>
    </w:p>
    <w:p w:rsidR="00753854" w:rsidRPr="00EE2732" w:rsidRDefault="00753854" w:rsidP="00753854">
      <w:pPr>
        <w:pStyle w:val="NormalWeb"/>
        <w:spacing w:before="0" w:beforeAutospacing="0" w:after="300" w:afterAutospacing="0" w:line="345" w:lineRule="atLeast"/>
        <w:jc w:val="both"/>
        <w:rPr>
          <w:sz w:val="22"/>
          <w:szCs w:val="22"/>
        </w:rPr>
      </w:pPr>
      <w:r w:rsidRPr="00EE2732">
        <w:rPr>
          <w:sz w:val="22"/>
          <w:szCs w:val="22"/>
        </w:rPr>
        <w:t xml:space="preserve">Personel hareketliliği faaliyetinden faydalanan personeline ödenecek seyahat gideri miktarı “Mesafe Hesaplayıcı” kullanılarak hesap edilmelidir. Mesafe hesaplayıcısına aşağıdaki bağlantıdan ulaşılabilmektedir: </w:t>
      </w:r>
    </w:p>
    <w:p w:rsidR="00753854" w:rsidRPr="00EE2732" w:rsidRDefault="006F42F7" w:rsidP="00753854">
      <w:pPr>
        <w:pStyle w:val="NormalWeb"/>
        <w:spacing w:before="0" w:beforeAutospacing="0" w:after="300" w:afterAutospacing="0" w:line="345" w:lineRule="atLeast"/>
        <w:jc w:val="both"/>
        <w:rPr>
          <w:sz w:val="22"/>
          <w:szCs w:val="22"/>
        </w:rPr>
      </w:pPr>
      <w:hyperlink r:id="rId5" w:history="1">
        <w:r w:rsidR="00753854" w:rsidRPr="00EE2732">
          <w:rPr>
            <w:rStyle w:val="Kpr"/>
            <w:color w:val="auto"/>
            <w:sz w:val="22"/>
            <w:szCs w:val="22"/>
          </w:rPr>
          <w:t>http://ec.europa.eu/programmes/erasmus-plus/tools/distance_en.htm</w:t>
        </w:r>
      </w:hyperlink>
      <w:r w:rsidR="00753854" w:rsidRPr="00EE2732">
        <w:rPr>
          <w:sz w:val="22"/>
          <w:szCs w:val="22"/>
        </w:rPr>
        <w:t xml:space="preserve"> </w:t>
      </w:r>
    </w:p>
    <w:p w:rsidR="00753854" w:rsidRPr="00EE2732" w:rsidRDefault="00753854" w:rsidP="00753854">
      <w:pPr>
        <w:pStyle w:val="NormalWeb"/>
        <w:spacing w:before="0" w:beforeAutospacing="0" w:after="300" w:afterAutospacing="0" w:line="345" w:lineRule="atLeast"/>
        <w:jc w:val="both"/>
        <w:rPr>
          <w:sz w:val="22"/>
          <w:szCs w:val="22"/>
        </w:rPr>
      </w:pPr>
      <w:r w:rsidRPr="00EE2732">
        <w:rPr>
          <w:sz w:val="22"/>
          <w:szCs w:val="22"/>
        </w:rPr>
        <w:lastRenderedPageBreak/>
        <w:t>Mesafe hesaplayıcısı aracılığı ile personelin yerleşik olduğu yerden, faaliyet yerine kadar olan 2 nokta arasının km değeri tespit edilmeli ve aşağıdaki tablo kullanılarak seyahat hibesi hesaplanmalıdır. Personelin aktarmalı olarak seyahat etmesi, yukarıda belirtilen mesafe hesaplaması ile varılan mesafeyi etkilemez.</w:t>
      </w:r>
    </w:p>
    <w:tbl>
      <w:tblPr>
        <w:tblStyle w:val="TabloKlavuzu"/>
        <w:tblW w:w="0" w:type="auto"/>
        <w:tblLook w:val="04A0" w:firstRow="1" w:lastRow="0" w:firstColumn="1" w:lastColumn="0" w:noHBand="0" w:noVBand="1"/>
      </w:tblPr>
      <w:tblGrid>
        <w:gridCol w:w="3652"/>
        <w:gridCol w:w="2126"/>
      </w:tblGrid>
      <w:tr w:rsidR="00753854" w:rsidRPr="00EE2732" w:rsidTr="00007560">
        <w:tc>
          <w:tcPr>
            <w:tcW w:w="3652"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Elde edilen “km” değeri</w:t>
            </w:r>
          </w:p>
        </w:tc>
        <w:tc>
          <w:tcPr>
            <w:tcW w:w="2126"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Hibe miktarı</w:t>
            </w:r>
          </w:p>
        </w:tc>
      </w:tr>
      <w:tr w:rsidR="00753854" w:rsidRPr="00EE2732" w:rsidTr="00007560">
        <w:tc>
          <w:tcPr>
            <w:tcW w:w="3652"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100-499 km arası</w:t>
            </w:r>
          </w:p>
        </w:tc>
        <w:tc>
          <w:tcPr>
            <w:tcW w:w="2126"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180 €</w:t>
            </w:r>
          </w:p>
        </w:tc>
      </w:tr>
      <w:tr w:rsidR="00753854" w:rsidRPr="00EE2732" w:rsidTr="00007560">
        <w:tc>
          <w:tcPr>
            <w:tcW w:w="3652"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500-1999 km arası</w:t>
            </w:r>
          </w:p>
        </w:tc>
        <w:tc>
          <w:tcPr>
            <w:tcW w:w="2126"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275 €</w:t>
            </w:r>
          </w:p>
        </w:tc>
      </w:tr>
      <w:tr w:rsidR="00753854" w:rsidRPr="00EE2732" w:rsidTr="00007560">
        <w:tc>
          <w:tcPr>
            <w:tcW w:w="3652"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2000-2999 km arası</w:t>
            </w:r>
          </w:p>
        </w:tc>
        <w:tc>
          <w:tcPr>
            <w:tcW w:w="2126"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360 €</w:t>
            </w:r>
          </w:p>
        </w:tc>
      </w:tr>
      <w:tr w:rsidR="00753854" w:rsidRPr="00EE2732" w:rsidTr="00007560">
        <w:tc>
          <w:tcPr>
            <w:tcW w:w="3652"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3000-3999 km arası</w:t>
            </w:r>
          </w:p>
        </w:tc>
        <w:tc>
          <w:tcPr>
            <w:tcW w:w="2126"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530 €</w:t>
            </w:r>
          </w:p>
        </w:tc>
      </w:tr>
      <w:tr w:rsidR="00753854" w:rsidRPr="00EE2732" w:rsidTr="00007560">
        <w:tc>
          <w:tcPr>
            <w:tcW w:w="3652"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4000-7999 km arası</w:t>
            </w:r>
          </w:p>
        </w:tc>
        <w:tc>
          <w:tcPr>
            <w:tcW w:w="2126"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820 €</w:t>
            </w:r>
          </w:p>
        </w:tc>
      </w:tr>
      <w:tr w:rsidR="00753854" w:rsidRPr="00EE2732" w:rsidTr="00007560">
        <w:tc>
          <w:tcPr>
            <w:tcW w:w="3652"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8000 km ve üzeri</w:t>
            </w:r>
          </w:p>
        </w:tc>
        <w:tc>
          <w:tcPr>
            <w:tcW w:w="2126" w:type="dxa"/>
          </w:tcPr>
          <w:p w:rsidR="00753854" w:rsidRPr="00EE2732" w:rsidRDefault="00753854" w:rsidP="00007560">
            <w:pPr>
              <w:pStyle w:val="NormalWeb"/>
              <w:spacing w:before="0" w:beforeAutospacing="0" w:after="300" w:afterAutospacing="0" w:line="345" w:lineRule="atLeast"/>
              <w:jc w:val="both"/>
              <w:rPr>
                <w:sz w:val="22"/>
                <w:szCs w:val="22"/>
              </w:rPr>
            </w:pPr>
            <w:r w:rsidRPr="00EE2732">
              <w:rPr>
                <w:sz w:val="22"/>
                <w:szCs w:val="22"/>
              </w:rPr>
              <w:t>1.100 €</w:t>
            </w:r>
          </w:p>
        </w:tc>
      </w:tr>
    </w:tbl>
    <w:p w:rsidR="00753854" w:rsidRPr="00EE2732" w:rsidRDefault="00753854" w:rsidP="00753854">
      <w:pPr>
        <w:pStyle w:val="NormalWeb"/>
        <w:spacing w:before="0" w:beforeAutospacing="0" w:after="300" w:afterAutospacing="0" w:line="345" w:lineRule="atLeast"/>
        <w:jc w:val="both"/>
        <w:rPr>
          <w:sz w:val="22"/>
          <w:szCs w:val="22"/>
        </w:rPr>
      </w:pPr>
    </w:p>
    <w:p w:rsidR="00753854" w:rsidRPr="00EE2732" w:rsidRDefault="00753854" w:rsidP="00753854">
      <w:pPr>
        <w:pStyle w:val="NormalWeb"/>
        <w:spacing w:before="0" w:beforeAutospacing="0" w:after="300" w:afterAutospacing="0" w:line="345" w:lineRule="atLeast"/>
        <w:jc w:val="both"/>
        <w:rPr>
          <w:sz w:val="22"/>
          <w:szCs w:val="22"/>
        </w:rPr>
      </w:pPr>
      <w:r w:rsidRPr="00EE2732">
        <w:rPr>
          <w:sz w:val="22"/>
          <w:szCs w:val="22"/>
        </w:rPr>
        <w:t>Seyahat hibesi götürü usulü olarak verileceğinden, personelin seyahat giderini gösteren belgelerin dosyada saklanmasına gerek bulunmamaktadır. Bununla birlikte, yükseköğretim kurumu tarafından, seyahat günleri için hibe verilmesi kararlaştırıldıysa, gidiş-dönüş günlerini tespit etmek üzere, uçuş kartları, otobüs/tren biletleri/pasaport giriş çıkışları gibi seçeneklerden uygun olan belgeler saklanmalıdır.</w:t>
      </w:r>
    </w:p>
    <w:p w:rsidR="00753854" w:rsidRPr="00EE2732" w:rsidRDefault="00753854" w:rsidP="00753854">
      <w:pPr>
        <w:pStyle w:val="NormalWeb"/>
        <w:spacing w:before="0" w:beforeAutospacing="0" w:after="300" w:afterAutospacing="0" w:line="345" w:lineRule="atLeast"/>
        <w:jc w:val="both"/>
        <w:rPr>
          <w:b/>
          <w:sz w:val="22"/>
          <w:szCs w:val="22"/>
        </w:rPr>
      </w:pPr>
      <w:r w:rsidRPr="00EE2732">
        <w:rPr>
          <w:b/>
          <w:sz w:val="22"/>
          <w:szCs w:val="22"/>
        </w:rPr>
        <w:t>Ödemede Kesinti Yapılması</w:t>
      </w:r>
    </w:p>
    <w:p w:rsidR="00753854" w:rsidRPr="00EE2732" w:rsidRDefault="00753854" w:rsidP="00753854">
      <w:pPr>
        <w:pStyle w:val="NormalWeb"/>
        <w:spacing w:before="0" w:beforeAutospacing="0" w:after="300" w:afterAutospacing="0" w:line="345" w:lineRule="atLeast"/>
        <w:jc w:val="both"/>
        <w:rPr>
          <w:sz w:val="22"/>
          <w:szCs w:val="22"/>
        </w:rPr>
      </w:pPr>
      <w:r w:rsidRPr="00EE2732">
        <w:rPr>
          <w:sz w:val="22"/>
          <w:szCs w:val="22"/>
        </w:rPr>
        <w:t xml:space="preserve">Yükseköğretim kurumu tarafından belirlenen tarihe kadar belgelerini ofise teslim etmeyen personelin % 20 hibeleri ödenmez. </w:t>
      </w:r>
    </w:p>
    <w:p w:rsidR="005878E9" w:rsidRDefault="005878E9"/>
    <w:sectPr w:rsidR="00587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54"/>
    <w:rsid w:val="005878E9"/>
    <w:rsid w:val="006F42F7"/>
    <w:rsid w:val="00753854"/>
    <w:rsid w:val="00BC6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54"/>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385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753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3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54"/>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385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753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3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683</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2015-03-30T10:37:00Z</dcterms:created>
  <dcterms:modified xsi:type="dcterms:W3CDTF">2015-04-01T06:10:00Z</dcterms:modified>
</cp:coreProperties>
</file>