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8C" w:rsidRPr="00170587" w:rsidRDefault="006E088C" w:rsidP="006E088C">
      <w:pPr>
        <w:rPr>
          <w:rFonts w:ascii="Times New Roman" w:hAnsi="Times New Roman" w:cs="Times New Roman"/>
          <w:b/>
          <w:color w:val="000000" w:themeColor="text1"/>
          <w:lang w:val="tr-TR"/>
        </w:rPr>
      </w:pPr>
      <w:r w:rsidRPr="00170587">
        <w:rPr>
          <w:rFonts w:ascii="Times New Roman" w:hAnsi="Times New Roman" w:cs="Times New Roman"/>
          <w:b/>
          <w:color w:val="000000" w:themeColor="text1"/>
          <w:lang w:val="tr-TR"/>
        </w:rPr>
        <w:t xml:space="preserve">Personel Eğitim Alma Hareketliliği </w:t>
      </w:r>
      <w:r>
        <w:rPr>
          <w:rFonts w:ascii="Times New Roman" w:hAnsi="Times New Roman" w:cs="Times New Roman"/>
          <w:b/>
          <w:color w:val="000000" w:themeColor="text1"/>
          <w:lang w:val="tr-TR"/>
        </w:rPr>
        <w:t>Detaylı Bilgi</w:t>
      </w:r>
    </w:p>
    <w:p w:rsidR="006E088C" w:rsidRPr="00170587" w:rsidRDefault="006E088C" w:rsidP="006E088C">
      <w:pPr>
        <w:rPr>
          <w:rFonts w:ascii="Times New Roman" w:hAnsi="Times New Roman" w:cs="Times New Roman"/>
          <w:color w:val="000000" w:themeColor="text1"/>
          <w:lang w:val="tr-TR"/>
        </w:rPr>
      </w:pPr>
    </w:p>
    <w:p w:rsidR="006E088C" w:rsidRDefault="006E088C" w:rsidP="006E088C">
      <w:pPr>
        <w:spacing w:line="360" w:lineRule="auto"/>
        <w:rPr>
          <w:rFonts w:ascii="Times New Roman" w:hAnsi="Times New Roman" w:cs="Times New Roman"/>
          <w:color w:val="000000" w:themeColor="text1"/>
          <w:lang w:val="tr-TR"/>
        </w:rPr>
      </w:pPr>
      <w:r w:rsidRPr="00170587">
        <w:rPr>
          <w:rFonts w:ascii="Times New Roman" w:hAnsi="Times New Roman" w:cs="Times New Roman"/>
          <w:color w:val="000000" w:themeColor="text1"/>
          <w:lang w:val="tr-TR"/>
        </w:rPr>
        <w:t xml:space="preserve">Personel eğitim alma hareketliliği Türkiye’de ECHE sahibi bir yükseköğretim kurumunda istihdam edilmiş </w:t>
      </w:r>
      <w:r w:rsidR="00C12065" w:rsidRPr="00C12065">
        <w:rPr>
          <w:rFonts w:ascii="Times New Roman" w:hAnsi="Times New Roman" w:cs="Times New Roman"/>
          <w:color w:val="000000" w:themeColor="text1"/>
          <w:shd w:val="clear" w:color="auto" w:fill="FFFFFF"/>
          <w:lang w:val="tr-TR"/>
        </w:rPr>
        <w:t>ders verme sorumluluğu bulunmayanların (araştırma görevlileri/  uzman/  idari personel ) başvuruları değerlendirilecektir</w:t>
      </w:r>
      <w:r w:rsidR="00C12065" w:rsidRPr="00917CBC">
        <w:rPr>
          <w:rFonts w:ascii="Times New Roman" w:hAnsi="Times New Roman" w:cs="Times New Roman"/>
          <w:b/>
          <w:color w:val="000000" w:themeColor="text1"/>
          <w:shd w:val="clear" w:color="auto" w:fill="FFFFFF"/>
          <w:lang w:val="tr-TR"/>
        </w:rPr>
        <w:t>.</w:t>
      </w:r>
      <w:r w:rsidR="00C12065" w:rsidRPr="00170587">
        <w:rPr>
          <w:rFonts w:ascii="Times New Roman" w:hAnsi="Times New Roman" w:cs="Times New Roman"/>
          <w:color w:val="000000" w:themeColor="text1"/>
          <w:shd w:val="clear" w:color="auto" w:fill="FFFFFF"/>
          <w:lang w:val="tr-TR"/>
        </w:rPr>
        <w:t xml:space="preserve"> </w:t>
      </w:r>
      <w:r w:rsidRPr="00170587">
        <w:rPr>
          <w:rFonts w:ascii="Times New Roman" w:hAnsi="Times New Roman" w:cs="Times New Roman"/>
          <w:color w:val="000000" w:themeColor="text1"/>
          <w:lang w:val="tr-TR"/>
        </w:rPr>
        <w:t>Bu faaliyet kapsamında kişinin mevcut işi ile ilgili konularda sahip olduğu becerileri geliştirmek üzere çeşitli eğitimler (işbaşı eğitimleri, gözlem süreçleri gibi) alması mümkündür. Konferans katılımları ise faaliyet kapsamında desteklenememektedir. 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(ECHE sahibi olması zorunlu değildir)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Personel eğitim alma faaliyeti tam zamanlı bir faaliyettir ve tam gün eğitim alınan süreler için hibe ödemesi yapılır.</w:t>
      </w:r>
    </w:p>
    <w:p w:rsidR="006E088C" w:rsidRPr="00170587" w:rsidRDefault="006E088C" w:rsidP="006E088C">
      <w:pPr>
        <w:spacing w:line="360" w:lineRule="auto"/>
        <w:rPr>
          <w:rFonts w:ascii="Times New Roman" w:hAnsi="Times New Roman" w:cs="Times New Roman"/>
          <w:color w:val="000000" w:themeColor="text1"/>
          <w:lang w:val="tr-TR"/>
        </w:rPr>
      </w:pPr>
    </w:p>
    <w:p w:rsidR="006E088C" w:rsidRPr="00170587" w:rsidRDefault="006E088C" w:rsidP="006E088C">
      <w:pPr>
        <w:pStyle w:val="NormalWeb"/>
        <w:spacing w:before="0" w:beforeAutospacing="0" w:after="300" w:afterAutospacing="0" w:line="345" w:lineRule="atLeast"/>
        <w:jc w:val="both"/>
        <w:rPr>
          <w:b/>
          <w:color w:val="000000" w:themeColor="text1"/>
          <w:sz w:val="22"/>
          <w:szCs w:val="22"/>
        </w:rPr>
      </w:pPr>
      <w:r w:rsidRPr="00170587">
        <w:rPr>
          <w:b/>
          <w:color w:val="000000" w:themeColor="text1"/>
          <w:sz w:val="22"/>
          <w:szCs w:val="22"/>
        </w:rPr>
        <w:t>Personel Eğitim Alma Hareketliliği için Asgarî ve Azamî Süreler</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Personel eğitim alma hareketliliği için faaliyet süresi seyahat hariç en az 2 iş günü, en fazla 5 gün olarak belirlenmiştir. Personel eğitim alma hareketliliğinde, katılım sertifikasında yararlanıcının 2 günden az süre ile faaliyet gerçekleştirdiğinin görüldüğü durumlarda, faaliyet geçersiz kabul edilir ve yararlanıcıya herhangi bir hibe ödemesi yapılmaz.</w:t>
      </w:r>
    </w:p>
    <w:p w:rsidR="006E088C" w:rsidRPr="00170587" w:rsidRDefault="006E088C" w:rsidP="006E088C">
      <w:pPr>
        <w:pStyle w:val="NormalWeb"/>
        <w:spacing w:before="0" w:beforeAutospacing="0" w:after="300" w:afterAutospacing="0" w:line="345" w:lineRule="atLeast"/>
        <w:jc w:val="both"/>
        <w:rPr>
          <w:b/>
          <w:color w:val="000000" w:themeColor="text1"/>
          <w:sz w:val="22"/>
          <w:szCs w:val="22"/>
        </w:rPr>
      </w:pPr>
      <w:r w:rsidRPr="00170587">
        <w:rPr>
          <w:b/>
          <w:color w:val="000000" w:themeColor="text1"/>
          <w:sz w:val="22"/>
          <w:szCs w:val="22"/>
        </w:rPr>
        <w:t>Hibe Desteği</w:t>
      </w:r>
    </w:p>
    <w:p w:rsidR="006E088C"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 xml:space="preserve"> </w:t>
      </w:r>
      <w:r w:rsidRPr="00170587">
        <w:rPr>
          <w:b/>
          <w:color w:val="000000" w:themeColor="text1"/>
          <w:sz w:val="22"/>
          <w:szCs w:val="22"/>
        </w:rPr>
        <w:t>Temel Bilgiler:</w:t>
      </w:r>
      <w:r w:rsidRPr="00170587">
        <w:rPr>
          <w:color w:val="000000" w:themeColor="text1"/>
          <w:sz w:val="22"/>
          <w:szCs w:val="22"/>
        </w:rPr>
        <w:t xml:space="preserve"> 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Hibe miktarı konusunda yapılacak uygulamanın, hedef kitleye duyurulması ve tüm personele aynı şekilde uygulanması gerekmektedir.</w:t>
      </w:r>
    </w:p>
    <w:p w:rsidR="00AD52DF" w:rsidRDefault="00AD52DF" w:rsidP="006E088C">
      <w:pPr>
        <w:pStyle w:val="NormalWeb"/>
        <w:spacing w:before="0" w:beforeAutospacing="0" w:after="300" w:afterAutospacing="0" w:line="345" w:lineRule="atLeast"/>
        <w:jc w:val="both"/>
        <w:rPr>
          <w:color w:val="000000" w:themeColor="text1"/>
          <w:sz w:val="22"/>
          <w:szCs w:val="22"/>
        </w:rPr>
      </w:pPr>
    </w:p>
    <w:p w:rsidR="00AD52DF" w:rsidRPr="00170587" w:rsidRDefault="00AD52DF" w:rsidP="006E088C">
      <w:pPr>
        <w:pStyle w:val="NormalWeb"/>
        <w:spacing w:before="0" w:beforeAutospacing="0" w:after="300" w:afterAutospacing="0" w:line="345" w:lineRule="atLeast"/>
        <w:jc w:val="both"/>
        <w:rPr>
          <w:color w:val="000000" w:themeColor="text1"/>
          <w:sz w:val="22"/>
          <w:szCs w:val="22"/>
        </w:rPr>
      </w:pPr>
      <w:bookmarkStart w:id="0" w:name="_GoBack"/>
      <w:bookmarkEnd w:id="0"/>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b/>
          <w:color w:val="000000" w:themeColor="text1"/>
          <w:sz w:val="22"/>
          <w:szCs w:val="22"/>
        </w:rPr>
        <w:lastRenderedPageBreak/>
        <w:t>Gidilen Ülkelere Göre Günlük Hibe Miktarları</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 xml:space="preserve"> Personel hareketliliğinden faydalanacak personele verilecek olan gündelik miktarı gidilen ülke ile birlikte gidilen süreye göre aşağıdaki tabloda belirtilen tutarlar dikkate alınarak hesaplanır. Tabloda gösterilen miktarlar Avro cinsindendir.</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p>
    <w:tbl>
      <w:tblPr>
        <w:tblStyle w:val="TabloKlavuzu"/>
        <w:tblW w:w="0" w:type="auto"/>
        <w:tblLook w:val="04A0" w:firstRow="1" w:lastRow="0" w:firstColumn="1" w:lastColumn="0" w:noHBand="0" w:noVBand="1"/>
      </w:tblPr>
      <w:tblGrid>
        <w:gridCol w:w="3070"/>
        <w:gridCol w:w="3071"/>
        <w:gridCol w:w="3071"/>
      </w:tblGrid>
      <w:tr w:rsidR="006E088C" w:rsidRPr="00170587" w:rsidTr="00F44411">
        <w:tc>
          <w:tcPr>
            <w:tcW w:w="3070"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Hayat pahalılığına göre ülke grupları</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Hareketlilikte Misafir Olunan Ülkeler</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Günlük hibe miktarları (Avro)</w:t>
            </w:r>
          </w:p>
        </w:tc>
      </w:tr>
      <w:tr w:rsidR="006E088C" w:rsidRPr="00170587" w:rsidTr="00F44411">
        <w:tc>
          <w:tcPr>
            <w:tcW w:w="3070"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 Grup Program Ülkeleri</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Birleşik Krallık, Danimarka, Hollanda, İrlanda, İsveç</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144</w:t>
            </w:r>
          </w:p>
        </w:tc>
      </w:tr>
      <w:tr w:rsidR="006E088C" w:rsidRPr="00170587" w:rsidTr="00F44411">
        <w:tc>
          <w:tcPr>
            <w:tcW w:w="3070"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2. Grup Program Ülkeleri</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Avusturya, Belçika, Bulgaristan, Çek Cumhuriyeti, Finlandiya, Fransa, İtalya, İzlanda, Kıbrıs Rum Kesimi, Lihtenştayn, Lüksemburg, Macaristan, Norveç, Polonya, Romanya, Yunanistan</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126</w:t>
            </w:r>
          </w:p>
        </w:tc>
      </w:tr>
      <w:tr w:rsidR="006E088C" w:rsidRPr="00170587" w:rsidTr="00F44411">
        <w:tc>
          <w:tcPr>
            <w:tcW w:w="3070"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3. Grup Program Ülkeleri</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Almanya, İspanya, Letonya, Makedonya, Malta, Portekiz, Slovak Cumhuriyeti</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108</w:t>
            </w:r>
          </w:p>
        </w:tc>
      </w:tr>
      <w:tr w:rsidR="006E088C" w:rsidRPr="00170587" w:rsidTr="00F44411">
        <w:tc>
          <w:tcPr>
            <w:tcW w:w="3070"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4. Grup Program Ülkeleri</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Estonya, Hırvatistan, Litvanya, Slovenya</w:t>
            </w:r>
          </w:p>
        </w:tc>
        <w:tc>
          <w:tcPr>
            <w:tcW w:w="3071"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90</w:t>
            </w:r>
          </w:p>
        </w:tc>
      </w:tr>
    </w:tbl>
    <w:p w:rsidR="006E088C" w:rsidRPr="00170587" w:rsidRDefault="006E088C" w:rsidP="006E088C">
      <w:pPr>
        <w:pStyle w:val="NormalWeb"/>
        <w:spacing w:before="0" w:beforeAutospacing="0" w:after="300" w:afterAutospacing="0" w:line="345" w:lineRule="atLeast"/>
        <w:jc w:val="both"/>
        <w:rPr>
          <w:b/>
          <w:color w:val="000000" w:themeColor="text1"/>
          <w:sz w:val="22"/>
          <w:szCs w:val="22"/>
        </w:rPr>
      </w:pP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b/>
          <w:color w:val="000000" w:themeColor="text1"/>
          <w:sz w:val="22"/>
          <w:szCs w:val="22"/>
        </w:rPr>
        <w:t>Hibe Hesaplamaları</w:t>
      </w:r>
      <w:r w:rsidRPr="00170587">
        <w:rPr>
          <w:color w:val="000000" w:themeColor="text1"/>
          <w:sz w:val="22"/>
          <w:szCs w:val="22"/>
        </w:rPr>
        <w:t xml:space="preserve"> </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b/>
          <w:color w:val="000000" w:themeColor="text1"/>
          <w:sz w:val="22"/>
          <w:szCs w:val="22"/>
        </w:rPr>
        <w:t>Gündelik Hesaplamaları</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 xml:space="preserve">Personelin faaliyet süreleri ve hibeleri, faaliyet başlamadan önce tahminî olarak hesaplanır. Faaliyet sona erdikten sonra gerçekleşen kesin süreler ve hibeler tekrar hesaplanmalıdır. Personelin faaliyet süreleri kısmen veya tamamen </w:t>
      </w:r>
      <w:proofErr w:type="spellStart"/>
      <w:r w:rsidRPr="00170587">
        <w:rPr>
          <w:color w:val="000000" w:themeColor="text1"/>
          <w:sz w:val="22"/>
          <w:szCs w:val="22"/>
        </w:rPr>
        <w:t>hibelendirilir</w:t>
      </w:r>
      <w:proofErr w:type="spellEnd"/>
      <w:r w:rsidRPr="00170587">
        <w:rPr>
          <w:color w:val="000000" w:themeColor="text1"/>
          <w:sz w:val="22"/>
          <w:szCs w:val="22"/>
        </w:rPr>
        <w:t xml:space="preserve"> veya faaliyet tamamen </w:t>
      </w:r>
      <w:proofErr w:type="spellStart"/>
      <w:r w:rsidRPr="00170587">
        <w:rPr>
          <w:color w:val="000000" w:themeColor="text1"/>
          <w:sz w:val="22"/>
          <w:szCs w:val="22"/>
        </w:rPr>
        <w:t>hibesiz</w:t>
      </w:r>
      <w:proofErr w:type="spellEnd"/>
      <w:r w:rsidRPr="00170587">
        <w:rPr>
          <w:color w:val="000000" w:themeColor="text1"/>
          <w:sz w:val="22"/>
          <w:szCs w:val="22"/>
        </w:rPr>
        <w:t xml:space="preserve"> yani “sıfır hibeli” olarak gerçekleştirilebilir. Faaliyet süresinin kısmen </w:t>
      </w:r>
      <w:proofErr w:type="spellStart"/>
      <w:r w:rsidRPr="00170587">
        <w:rPr>
          <w:color w:val="000000" w:themeColor="text1"/>
          <w:sz w:val="22"/>
          <w:szCs w:val="22"/>
        </w:rPr>
        <w:t>hibelendirilmesi</w:t>
      </w:r>
      <w:proofErr w:type="spellEnd"/>
      <w:r w:rsidRPr="00170587">
        <w:rPr>
          <w:color w:val="000000" w:themeColor="text1"/>
          <w:sz w:val="22"/>
          <w:szCs w:val="22"/>
        </w:rPr>
        <w:t xml:space="preserve"> halinde, hibe verilecek süre personel hareketliliği için 2 </w:t>
      </w:r>
      <w:proofErr w:type="spellStart"/>
      <w:r w:rsidRPr="00170587">
        <w:rPr>
          <w:color w:val="000000" w:themeColor="text1"/>
          <w:sz w:val="22"/>
          <w:szCs w:val="22"/>
        </w:rPr>
        <w:t>gün’den</w:t>
      </w:r>
      <w:proofErr w:type="spellEnd"/>
      <w:r w:rsidRPr="00170587">
        <w:rPr>
          <w:color w:val="000000" w:themeColor="text1"/>
          <w:sz w:val="22"/>
          <w:szCs w:val="22"/>
        </w:rPr>
        <w:t xml:space="preserve"> kısa olamaz. </w:t>
      </w:r>
    </w:p>
    <w:p w:rsidR="006E088C" w:rsidRPr="00170587" w:rsidRDefault="006E088C" w:rsidP="006E088C">
      <w:pPr>
        <w:pStyle w:val="NormalWeb"/>
        <w:spacing w:before="0" w:beforeAutospacing="0" w:after="300" w:afterAutospacing="0" w:line="345" w:lineRule="atLeast"/>
        <w:jc w:val="both"/>
        <w:rPr>
          <w:b/>
          <w:color w:val="000000" w:themeColor="text1"/>
          <w:sz w:val="22"/>
          <w:szCs w:val="22"/>
        </w:rPr>
      </w:pPr>
      <w:r w:rsidRPr="00170587">
        <w:rPr>
          <w:b/>
          <w:color w:val="000000" w:themeColor="text1"/>
          <w:sz w:val="22"/>
          <w:szCs w:val="22"/>
        </w:rPr>
        <w:lastRenderedPageBreak/>
        <w:t>Seyahat Gideri Hesaplamaları</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 xml:space="preserve">Personel hareketliliği faaliyetinden faydalanan personeline ödenecek seyahat gideri miktarı “Mesafe Hesaplayıcı” kullanılarak hesap edilmelidir. Mesafe hesaplayıcısına aşağıdaki bağlantıdan ulaşılabilmektedir: </w:t>
      </w:r>
    </w:p>
    <w:p w:rsidR="006E088C" w:rsidRPr="00170587" w:rsidRDefault="00AD52DF" w:rsidP="006E088C">
      <w:pPr>
        <w:pStyle w:val="NormalWeb"/>
        <w:spacing w:before="0" w:beforeAutospacing="0" w:after="300" w:afterAutospacing="0" w:line="345" w:lineRule="atLeast"/>
        <w:jc w:val="both"/>
        <w:rPr>
          <w:color w:val="000000" w:themeColor="text1"/>
          <w:sz w:val="22"/>
          <w:szCs w:val="22"/>
        </w:rPr>
      </w:pPr>
      <w:hyperlink r:id="rId5" w:history="1">
        <w:r w:rsidR="006E088C" w:rsidRPr="00170587">
          <w:rPr>
            <w:rStyle w:val="Kpr"/>
            <w:color w:val="000000" w:themeColor="text1"/>
            <w:sz w:val="22"/>
            <w:szCs w:val="22"/>
          </w:rPr>
          <w:t>http://ec.europa.eu/programmes/erasmus-plus/tools/distance_en.htm</w:t>
        </w:r>
      </w:hyperlink>
      <w:r w:rsidR="006E088C" w:rsidRPr="00170587">
        <w:rPr>
          <w:color w:val="000000" w:themeColor="text1"/>
          <w:sz w:val="22"/>
          <w:szCs w:val="22"/>
        </w:rPr>
        <w:t xml:space="preserve"> </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Mesafe hesaplayıcısı aracılığı ile personelin yerleşik olduğu yerden, faaliyet yerine kadar olan 2 nokta arasının km değeri tespit edilmeli ve aşağıdaki tablo kullanılarak seyahat hibesi hesaplanmalıdır. Personelin aktarmalı olarak seyahat etmesi, yukarıda belirtilen mesafe hesaplaması ile varılan mesafeyi etkilemez.</w:t>
      </w:r>
    </w:p>
    <w:tbl>
      <w:tblPr>
        <w:tblStyle w:val="TabloKlavuzu"/>
        <w:tblW w:w="0" w:type="auto"/>
        <w:tblLook w:val="04A0" w:firstRow="1" w:lastRow="0" w:firstColumn="1" w:lastColumn="0" w:noHBand="0" w:noVBand="1"/>
      </w:tblPr>
      <w:tblGrid>
        <w:gridCol w:w="3652"/>
        <w:gridCol w:w="2126"/>
      </w:tblGrid>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Elde edilen “km” değeri</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Hibe miktarı</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100-499 km arası</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180 €</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500-1999 km arası</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275 €</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2000-2999 km arası</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360 €</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3000-3999 km arası</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530 €</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4000-7999 km arası</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820 €</w:t>
            </w:r>
          </w:p>
        </w:tc>
      </w:tr>
      <w:tr w:rsidR="006E088C" w:rsidRPr="00170587" w:rsidTr="00F44411">
        <w:tc>
          <w:tcPr>
            <w:tcW w:w="3652"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8000 km ve üzeri</w:t>
            </w:r>
          </w:p>
        </w:tc>
        <w:tc>
          <w:tcPr>
            <w:tcW w:w="2126" w:type="dxa"/>
          </w:tcPr>
          <w:p w:rsidR="006E088C" w:rsidRPr="00170587" w:rsidRDefault="006E088C" w:rsidP="00F44411">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1.100 €</w:t>
            </w:r>
          </w:p>
        </w:tc>
      </w:tr>
    </w:tbl>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Seyahat hibesi götürü usulü olarak verileceğinden, personelin seyahat giderini gösteren belgelerin dosyada saklanmasına gerek bulunmamaktadır. Bununla birlikte, yükseköğretim kurumu tarafından, seyahat günleri için hibe verilmesi kararlaştırıldıysa, gidiş-dönüş günlerini tespit etmek üzere, uçuş kartları, otobüs/tren biletleri/pasaport giriş çıkışları gibi seçeneklerden uygun olan belgeler saklanmalıdır.</w:t>
      </w:r>
    </w:p>
    <w:p w:rsidR="006E088C" w:rsidRPr="00170587" w:rsidRDefault="006E088C" w:rsidP="006E088C">
      <w:pPr>
        <w:pStyle w:val="NormalWeb"/>
        <w:spacing w:before="0" w:beforeAutospacing="0" w:after="300" w:afterAutospacing="0" w:line="345" w:lineRule="atLeast"/>
        <w:jc w:val="both"/>
        <w:rPr>
          <w:b/>
          <w:color w:val="000000" w:themeColor="text1"/>
          <w:sz w:val="22"/>
          <w:szCs w:val="22"/>
        </w:rPr>
      </w:pPr>
      <w:r w:rsidRPr="00170587">
        <w:rPr>
          <w:b/>
          <w:color w:val="000000" w:themeColor="text1"/>
          <w:sz w:val="22"/>
          <w:szCs w:val="22"/>
        </w:rPr>
        <w:t>Ödemede Kesinti Yapılması</w:t>
      </w:r>
    </w:p>
    <w:p w:rsidR="006E088C" w:rsidRPr="00170587" w:rsidRDefault="006E088C" w:rsidP="006E088C">
      <w:pPr>
        <w:pStyle w:val="NormalWeb"/>
        <w:spacing w:before="0" w:beforeAutospacing="0" w:after="300" w:afterAutospacing="0" w:line="345" w:lineRule="atLeast"/>
        <w:jc w:val="both"/>
        <w:rPr>
          <w:color w:val="000000" w:themeColor="text1"/>
          <w:sz w:val="22"/>
          <w:szCs w:val="22"/>
        </w:rPr>
      </w:pPr>
      <w:r w:rsidRPr="00170587">
        <w:rPr>
          <w:color w:val="000000" w:themeColor="text1"/>
          <w:sz w:val="22"/>
          <w:szCs w:val="22"/>
        </w:rPr>
        <w:t xml:space="preserve">Yükseköğretim kurumu tarafından belirlenen tarihe kadar belgelerini ofise teslim etmeyen personelin % 20 hibeleri ödenmez. </w:t>
      </w:r>
    </w:p>
    <w:p w:rsidR="005878E9" w:rsidRDefault="005878E9"/>
    <w:sectPr w:rsidR="0058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8C"/>
    <w:rsid w:val="005878E9"/>
    <w:rsid w:val="006E088C"/>
    <w:rsid w:val="00AD52DF"/>
    <w:rsid w:val="00C12065"/>
    <w:rsid w:val="00C81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8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088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6E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E08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8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088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6E0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E0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2015-03-30T10:32:00Z</dcterms:created>
  <dcterms:modified xsi:type="dcterms:W3CDTF">2015-04-01T06:12:00Z</dcterms:modified>
</cp:coreProperties>
</file>